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05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7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REINFORCEMENT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deliveries of reinforcement (correct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scheduled).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2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Inspection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Reinforcement securely fixed in place.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Bar spacing.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Correct bar diameter.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Concrete cover.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Expansion and construction joint details.</w:t>
            </w:r>
          </w:p>
          <w:p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. Bar chair location and spacing.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Cores, embedments fixed in place.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 (Including review of Items 3</w:t>
            </w:r>
          </w:p>
          <w:p>
            <w:pPr>
              <w:pStyle w:val="TableParagraph"/>
              <w:spacing w:line="190" w:lineRule="atLeast" w:before="6"/>
              <w:ind w:left="26"/>
              <w:rPr>
                <w:sz w:val="15"/>
              </w:rPr>
            </w:pPr>
            <w:r>
              <w:rPr>
                <w:sz w:val="15"/>
              </w:rPr>
              <w:t>to 4 above). Check for displacement and protection.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80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2023-03-23T22:06:29Z</dcterms:created>
  <dcterms:modified xsi:type="dcterms:W3CDTF">2023-03-23T22:06:29Z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