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32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BRICK/BLOCKWORK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321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Submissions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5" w:val="left" w:leader="none"/>
              </w:tabs>
              <w:spacing w:line="240" w:lineRule="auto" w:before="39" w:after="0"/>
              <w:ind w:left="119" w:right="0" w:hanging="9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Prior to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ordering:</w:t>
            </w:r>
          </w:p>
          <w:p>
            <w:pPr>
              <w:pStyle w:val="TableParagraph"/>
              <w:spacing w:line="273" w:lineRule="auto" w:before="39"/>
              <w:ind w:left="23" w:right="157" w:firstLine="96"/>
              <w:rPr>
                <w:sz w:val="9"/>
              </w:rPr>
            </w:pPr>
            <w:r>
              <w:rPr>
                <w:w w:val="105"/>
                <w:sz w:val="9"/>
              </w:rPr>
              <w:t>. Product data showing manufacturer's name and product details including designation of proposed types and sizes.</w:t>
            </w:r>
          </w:p>
          <w:p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Schedule of 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Lintels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5" w:val="left" w:leader="none"/>
              </w:tabs>
              <w:spacing w:line="324" w:lineRule="auto" w:before="39" w:after="0"/>
              <w:ind w:left="119" w:right="663" w:hanging="96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Prior to delivery: Two of each type 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of:</w:t>
            </w:r>
          </w:p>
          <w:p>
            <w:pPr>
              <w:pStyle w:val="TableParagraph"/>
              <w:spacing w:before="1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Block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Mortar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Grout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Wall Ties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Reinforcement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Lintels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Caulking Compound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Head Restraint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DPC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Flashings</w:t>
            </w:r>
          </w:p>
          <w:p>
            <w:pPr>
              <w:pStyle w:val="TableParagraph"/>
              <w:spacing w:before="38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Expansion Joints - Material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Wall Stiffeners</w:t>
            </w:r>
          </w:p>
          <w:p>
            <w:pPr>
              <w:pStyle w:val="TableParagraph"/>
              <w:spacing w:before="39"/>
              <w:ind w:left="119"/>
              <w:rPr>
                <w:sz w:val="9"/>
              </w:rPr>
            </w:pPr>
            <w:r>
              <w:rPr>
                <w:w w:val="105"/>
                <w:sz w:val="9"/>
              </w:rPr>
              <w:t>. Steel Lintels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2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4" w:lineRule="auto" w:before="5"/>
              <w:ind w:left="23" w:right="157"/>
              <w:rPr>
                <w:sz w:val="9"/>
              </w:rPr>
            </w:pPr>
            <w:r>
              <w:rPr>
                <w:w w:val="105"/>
                <w:sz w:val="9"/>
              </w:rPr>
              <w:t>Test Materials (Data Schedule): Blocks (Source Quality Control)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Transverse Strength</w:t>
            </w:r>
          </w:p>
          <w:p>
            <w:pPr>
              <w:pStyle w:val="TableParagraph"/>
              <w:spacing w:line="324" w:lineRule="auto" w:before="39"/>
              <w:ind w:left="23" w:right="428"/>
              <w:rPr>
                <w:sz w:val="9"/>
              </w:rPr>
            </w:pPr>
            <w:r>
              <w:rPr>
                <w:w w:val="105"/>
                <w:sz w:val="9"/>
              </w:rPr>
              <w:t>.  Compressive Strength Blocks (Field Quality</w:t>
            </w:r>
            <w:r>
              <w:rPr>
                <w:spacing w:val="-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Control)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Compressive Strength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Bond Strength</w:t>
            </w:r>
          </w:p>
          <w:p>
            <w:pPr>
              <w:pStyle w:val="TableParagraph"/>
              <w:spacing w:line="324" w:lineRule="auto" w:before="39"/>
              <w:ind w:left="23" w:right="382"/>
              <w:rPr>
                <w:sz w:val="9"/>
              </w:rPr>
            </w:pPr>
            <w:r>
              <w:rPr>
                <w:w w:val="105"/>
                <w:sz w:val="9"/>
              </w:rPr>
              <w:t>. Characteristic Strength Mortar (Field Quality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Control)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Sampling Method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Chemical Composition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10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Inspections</w:t>
            </w:r>
          </w:p>
          <w:p>
            <w:pPr>
              <w:pStyle w:val="TableParagraph"/>
              <w:spacing w:line="273" w:lineRule="auto"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Built-In items located in correct positions (Doc., Flashings, Bolts, Structural Steel).</w:t>
            </w:r>
          </w:p>
          <w:p>
            <w:pPr>
              <w:pStyle w:val="TableParagraph"/>
              <w:spacing w:line="273" w:lineRule="auto" w:before="18"/>
              <w:ind w:left="23" w:right="157"/>
              <w:rPr>
                <w:sz w:val="9"/>
              </w:rPr>
            </w:pPr>
            <w:r>
              <w:rPr>
                <w:w w:val="105"/>
                <w:sz w:val="9"/>
              </w:rPr>
              <w:t>. Bottoms of cavities after cleaning out.</w:t>
            </w:r>
          </w:p>
          <w:p>
            <w:pPr>
              <w:pStyle w:val="TableParagraph"/>
              <w:spacing w:line="273" w:lineRule="auto" w:before="9"/>
              <w:ind w:left="23" w:right="157"/>
              <w:rPr>
                <w:sz w:val="9"/>
              </w:rPr>
            </w:pPr>
            <w:r>
              <w:rPr>
                <w:w w:val="105"/>
                <w:sz w:val="9"/>
              </w:rPr>
              <w:t>. Bottoms of core holes before grouting.</w:t>
            </w:r>
          </w:p>
          <w:p>
            <w:pPr>
              <w:pStyle w:val="TableParagraph"/>
              <w:spacing w:before="8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Control joints ready for insertion of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filler.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80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delivery of materials: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Cement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Lime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Sand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Water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Grout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Clay Bricks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Concrete Blocks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Set-Out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Wall/Pier Locations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Base structure to correct level.</w:t>
            </w:r>
          </w:p>
          <w:p>
            <w:pPr>
              <w:pStyle w:val="TableParagraph"/>
              <w:spacing w:line="120" w:lineRule="atLeast" w:before="2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Horizontal courses to correct height increment.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built-in items: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Services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Door Frames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DPC, Flashing (Type, Lap)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jointing: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Point up joints around flashings.</w:t>
            </w:r>
          </w:p>
          <w:p>
            <w:pPr>
              <w:pStyle w:val="TableParagraph"/>
              <w:spacing w:line="273" w:lineRule="auto" w:before="39"/>
              <w:ind w:left="23" w:right="33"/>
              <w:rPr>
                <w:sz w:val="9"/>
              </w:rPr>
            </w:pPr>
            <w:r>
              <w:rPr>
                <w:w w:val="105"/>
                <w:sz w:val="9"/>
              </w:rPr>
              <w:t>. Strike joints flush where not exposed to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view.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Facework joints (ironed).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footerReference w:type="default" r:id="rId5"/>
          <w:type w:val="continuous"/>
          <w:pgSz w:w="11910" w:h="16840"/>
          <w:pgMar w:footer="301" w:top="1120" w:bottom="500" w:left="900" w:right="92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131" w:hRule="atLeast"/>
        </w:trPr>
        <w:tc>
          <w:tcPr>
            <w:tcW w:w="317" w:type="dxa"/>
            <w:tcBorders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91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91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544" w:hRule="atLeast"/>
        </w:trPr>
        <w:tc>
          <w:tcPr>
            <w:tcW w:w="31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facework: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Colour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mixing.</w:t>
            </w:r>
          </w:p>
          <w:p>
            <w:pPr>
              <w:pStyle w:val="TableParagraph"/>
              <w:spacing w:line="120" w:lineRule="atLeast" w:before="29"/>
              <w:ind w:left="23" w:right="157"/>
              <w:rPr>
                <w:sz w:val="9"/>
              </w:rPr>
            </w:pPr>
            <w:r>
              <w:rPr>
                <w:w w:val="105"/>
                <w:sz w:val="9"/>
              </w:rPr>
              <w:t>. Perpends in alternate courses vertically aligned bed joints level.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9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laying of masonry: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Wall ties.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Uniform cavity width.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Cavities free from mortar droppings.</w:t>
            </w:r>
          </w:p>
          <w:p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Bond beams.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Lintels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control joints: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 size.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Filler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Sealant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0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Inspections (Reinforced Blockwork)</w:t>
            </w:r>
          </w:p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3" w:right="33"/>
              <w:rPr>
                <w:sz w:val="9"/>
              </w:rPr>
            </w:pPr>
            <w:r>
              <w:rPr>
                <w:w w:val="105"/>
                <w:sz w:val="9"/>
              </w:rPr>
              <w:t>. Allow for inspection by Engineer at each stage of wall erection.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sectPr>
      <w:pgSz w:w="11910" w:h="16840"/>
      <w:pgMar w:header="0" w:footer="301" w:top="1080" w:bottom="50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40234pt;margin-top:811.967712pt;width:32.950pt;height:8.75pt;mso-position-horizontal-relative:page;mso-position-vertical-relative:page;z-index:-254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9" w:hanging="101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268" w:hanging="1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" w:hanging="1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4" w:hanging="1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3" w:hanging="1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1" w:hanging="1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9" w:hanging="1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8" w:hanging="1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06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2023-03-23T22:18:02Z</dcterms:created>
  <dcterms:modified xsi:type="dcterms:W3CDTF">2023-03-23T22:18:02Z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